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572" w:tblpY="1389"/>
        <w:tblW w:w="10208" w:type="dxa"/>
        <w:tblLayout w:type="fixed"/>
        <w:tblLook w:val="04A0" w:firstRow="1" w:lastRow="0" w:firstColumn="1" w:lastColumn="0" w:noHBand="0" w:noVBand="1"/>
      </w:tblPr>
      <w:tblGrid>
        <w:gridCol w:w="1268"/>
        <w:gridCol w:w="2883"/>
        <w:gridCol w:w="1125"/>
        <w:gridCol w:w="2232"/>
        <w:gridCol w:w="1276"/>
        <w:gridCol w:w="1424"/>
      </w:tblGrid>
      <w:tr w:rsidR="00B706C2" w14:paraId="1117381C" w14:textId="4C972964" w:rsidTr="00AB4B47">
        <w:trPr>
          <w:trHeight w:val="416"/>
        </w:trPr>
        <w:tc>
          <w:tcPr>
            <w:tcW w:w="1268" w:type="dxa"/>
            <w:vAlign w:val="center"/>
          </w:tcPr>
          <w:p w14:paraId="72CB9B09" w14:textId="27DD3212" w:rsidR="00B706C2" w:rsidRDefault="00B706C2" w:rsidP="00AB4B47">
            <w:pPr>
              <w:jc w:val="center"/>
            </w:pPr>
            <w:r>
              <w:t>Initiative</w:t>
            </w:r>
          </w:p>
        </w:tc>
        <w:tc>
          <w:tcPr>
            <w:tcW w:w="2883" w:type="dxa"/>
            <w:vAlign w:val="center"/>
          </w:tcPr>
          <w:p w14:paraId="0807949F" w14:textId="6BD6AC56" w:rsidR="00B706C2" w:rsidRDefault="00B706C2" w:rsidP="00AB4B47">
            <w:pPr>
              <w:jc w:val="center"/>
            </w:pPr>
            <w:r>
              <w:t>Description</w:t>
            </w:r>
          </w:p>
        </w:tc>
        <w:tc>
          <w:tcPr>
            <w:tcW w:w="1125" w:type="dxa"/>
            <w:vAlign w:val="center"/>
          </w:tcPr>
          <w:p w14:paraId="25DD3E0D" w14:textId="259E4A3E" w:rsidR="00B706C2" w:rsidRDefault="00B706C2" w:rsidP="00AB4B47">
            <w:pPr>
              <w:jc w:val="center"/>
            </w:pPr>
            <w:r>
              <w:t>Event</w:t>
            </w:r>
          </w:p>
        </w:tc>
        <w:tc>
          <w:tcPr>
            <w:tcW w:w="2232" w:type="dxa"/>
            <w:vAlign w:val="center"/>
          </w:tcPr>
          <w:p w14:paraId="33A24B98" w14:textId="20B81FC8" w:rsidR="00B706C2" w:rsidRDefault="00B706C2" w:rsidP="00AB4B47">
            <w:pPr>
              <w:jc w:val="center"/>
            </w:pPr>
            <w:r>
              <w:t>contact</w:t>
            </w:r>
          </w:p>
        </w:tc>
        <w:tc>
          <w:tcPr>
            <w:tcW w:w="1276" w:type="dxa"/>
            <w:vAlign w:val="center"/>
          </w:tcPr>
          <w:p w14:paraId="743ADC02" w14:textId="79FE0859" w:rsidR="00B706C2" w:rsidRDefault="00B706C2" w:rsidP="00AB4B47">
            <w:pPr>
              <w:jc w:val="center"/>
            </w:pPr>
            <w:r>
              <w:t>Date</w:t>
            </w:r>
          </w:p>
        </w:tc>
        <w:tc>
          <w:tcPr>
            <w:tcW w:w="1424" w:type="dxa"/>
            <w:vAlign w:val="center"/>
          </w:tcPr>
          <w:p w14:paraId="5E1BCD4C" w14:textId="4492EEAF" w:rsidR="00B706C2" w:rsidRDefault="00B706C2" w:rsidP="00AB4B47">
            <w:pPr>
              <w:jc w:val="center"/>
            </w:pPr>
            <w:r>
              <w:t>Support required</w:t>
            </w:r>
          </w:p>
        </w:tc>
      </w:tr>
      <w:tr w:rsidR="00B706C2" w14:paraId="6C3F6013" w14:textId="3D864C96" w:rsidTr="00AB4B47">
        <w:tc>
          <w:tcPr>
            <w:tcW w:w="1268" w:type="dxa"/>
            <w:vAlign w:val="center"/>
          </w:tcPr>
          <w:p w14:paraId="46BCDCC6" w14:textId="6C37671E" w:rsidR="00B706C2" w:rsidRDefault="00B706C2" w:rsidP="00AB4B47">
            <w:pPr>
              <w:jc w:val="center"/>
            </w:pPr>
            <w:r>
              <w:rPr>
                <w:rFonts w:cstheme="minorHAnsi"/>
              </w:rPr>
              <w:t>London</w:t>
            </w:r>
            <w:r w:rsidRPr="002363E9">
              <w:rPr>
                <w:rFonts w:cstheme="minorHAnsi"/>
              </w:rPr>
              <w:t xml:space="preserve"> Cyber Resilience Centre</w:t>
            </w:r>
          </w:p>
        </w:tc>
        <w:tc>
          <w:tcPr>
            <w:tcW w:w="2883" w:type="dxa"/>
            <w:vAlign w:val="center"/>
          </w:tcPr>
          <w:p w14:paraId="566E8254" w14:textId="53DB9853" w:rsidR="00B706C2" w:rsidRDefault="00B706C2" w:rsidP="00AB4B47">
            <w:pPr>
              <w:jc w:val="center"/>
            </w:pPr>
            <w:r>
              <w:t>National Cyber Resilience Centre and Group Resilience Centres. Police, Private Sector and academia in a not-for-profit partnership strengthening our national cyber resilience across SMEs and the supply chain</w:t>
            </w:r>
            <w:r w:rsidR="007638B3">
              <w:t>.</w:t>
            </w:r>
          </w:p>
        </w:tc>
        <w:tc>
          <w:tcPr>
            <w:tcW w:w="1125" w:type="dxa"/>
            <w:vAlign w:val="center"/>
          </w:tcPr>
          <w:p w14:paraId="688AA7A8" w14:textId="52FF6E34" w:rsidR="00B706C2" w:rsidRDefault="00B706C2" w:rsidP="00AB4B47">
            <w:pPr>
              <w:jc w:val="center"/>
            </w:pPr>
          </w:p>
        </w:tc>
        <w:tc>
          <w:tcPr>
            <w:tcW w:w="2232" w:type="dxa"/>
            <w:vAlign w:val="center"/>
          </w:tcPr>
          <w:p w14:paraId="0052C7E7" w14:textId="0EB139F3" w:rsidR="00B706C2" w:rsidRDefault="00AB4B47" w:rsidP="00AB4B47">
            <w:pPr>
              <w:jc w:val="center"/>
              <w:rPr>
                <w:rStyle w:val="Hyperlink"/>
              </w:rPr>
            </w:pPr>
            <w:hyperlink r:id="rId7" w:history="1">
              <w:r w:rsidR="00B706C2" w:rsidRPr="001A6089">
                <w:rPr>
                  <w:rStyle w:val="Hyperlink"/>
                </w:rPr>
                <w:t>https://nationalcrcgroup.co.uk/about-us/</w:t>
              </w:r>
            </w:hyperlink>
          </w:p>
          <w:p w14:paraId="4008D9F2" w14:textId="2E9DFB5F" w:rsidR="007638B3" w:rsidRDefault="007638B3" w:rsidP="00AB4B47">
            <w:pPr>
              <w:jc w:val="center"/>
              <w:rPr>
                <w:rStyle w:val="Hyperlink"/>
              </w:rPr>
            </w:pPr>
          </w:p>
          <w:p w14:paraId="7DC138E9" w14:textId="14DD6F48" w:rsidR="007638B3" w:rsidRDefault="00AB4B47" w:rsidP="00AB4B47">
            <w:pPr>
              <w:jc w:val="center"/>
            </w:pPr>
            <w:hyperlink r:id="rId8" w:history="1">
              <w:r w:rsidR="007638B3" w:rsidRPr="00641E49">
                <w:rPr>
                  <w:rStyle w:val="Hyperlink"/>
                </w:rPr>
                <w:t>https://www.londoncrc.co.uk/</w:t>
              </w:r>
            </w:hyperlink>
          </w:p>
          <w:p w14:paraId="2F9A032D" w14:textId="77777777" w:rsidR="007638B3" w:rsidRDefault="007638B3" w:rsidP="00AB4B47">
            <w:pPr>
              <w:jc w:val="center"/>
            </w:pPr>
          </w:p>
          <w:p w14:paraId="2A4EBB63" w14:textId="0D07B7F7" w:rsidR="00B706C2" w:rsidRPr="00F554CE" w:rsidRDefault="00AB4B47" w:rsidP="00AB4B47">
            <w:pPr>
              <w:jc w:val="center"/>
              <w:rPr>
                <w:rFonts w:cstheme="minorHAnsi"/>
              </w:rPr>
            </w:pPr>
            <w:hyperlink r:id="rId9" w:history="1">
              <w:r w:rsidR="00B706C2" w:rsidRPr="00F554CE">
                <w:rPr>
                  <w:rStyle w:val="Hyperlink"/>
                  <w:rFonts w:cstheme="minorHAnsi"/>
                  <w:color w:val="FFFFFF"/>
                  <w:u w:val="none"/>
                </w:rPr>
                <w:t>enquiries@nationalcrcgroup.co.uk</w:t>
              </w:r>
            </w:hyperlink>
          </w:p>
        </w:tc>
        <w:tc>
          <w:tcPr>
            <w:tcW w:w="1276" w:type="dxa"/>
            <w:vAlign w:val="center"/>
          </w:tcPr>
          <w:p w14:paraId="29779943" w14:textId="6A63F40A" w:rsidR="00B706C2" w:rsidRDefault="007638B3" w:rsidP="00AB4B47">
            <w:pPr>
              <w:jc w:val="center"/>
            </w:pPr>
            <w:r>
              <w:t xml:space="preserve">Planning mid-Aug onwards, </w:t>
            </w:r>
            <w:r w:rsidRPr="007638B3">
              <w:t xml:space="preserve"> launch mid-Sept</w:t>
            </w:r>
          </w:p>
        </w:tc>
        <w:tc>
          <w:tcPr>
            <w:tcW w:w="1424" w:type="dxa"/>
            <w:vAlign w:val="center"/>
          </w:tcPr>
          <w:p w14:paraId="6434E10B" w14:textId="2A6F7F72" w:rsidR="00B706C2" w:rsidRDefault="007638B3" w:rsidP="00AB4B47">
            <w:pPr>
              <w:jc w:val="center"/>
            </w:pPr>
            <w:r>
              <w:t>Awareness, guidance and support for micro-businesses</w:t>
            </w:r>
          </w:p>
        </w:tc>
      </w:tr>
      <w:tr w:rsidR="00B706C2" w14:paraId="63DAA15D" w14:textId="5BAA58EF" w:rsidTr="00AB4B47">
        <w:tc>
          <w:tcPr>
            <w:tcW w:w="1268" w:type="dxa"/>
            <w:vAlign w:val="center"/>
          </w:tcPr>
          <w:p w14:paraId="5655B6B5" w14:textId="4F4CA90C" w:rsidR="00B706C2" w:rsidRDefault="00AB4B47" w:rsidP="00AB4B47">
            <w:pPr>
              <w:jc w:val="center"/>
            </w:pPr>
            <w:hyperlink r:id="rId10" w:history="1">
              <w:r w:rsidR="00B706C2" w:rsidRPr="00600574">
                <w:rPr>
                  <w:rStyle w:val="Hyperlink"/>
                </w:rPr>
                <w:t>Clear Community Web</w:t>
              </w:r>
            </w:hyperlink>
          </w:p>
        </w:tc>
        <w:tc>
          <w:tcPr>
            <w:tcW w:w="2883" w:type="dxa"/>
            <w:vAlign w:val="center"/>
          </w:tcPr>
          <w:p w14:paraId="1AD4729F" w14:textId="12790358" w:rsidR="00B706C2" w:rsidRDefault="007638B3" w:rsidP="00AB4B47">
            <w:pPr>
              <w:jc w:val="center"/>
            </w:pPr>
            <w:r>
              <w:t>V</w:t>
            </w:r>
            <w:r w:rsidR="00B706C2">
              <w:t>olunteers</w:t>
            </w:r>
            <w:r>
              <w:t>/support</w:t>
            </w:r>
            <w:r w:rsidR="00B706C2">
              <w:t xml:space="preserve"> to help </w:t>
            </w:r>
            <w:hyperlink r:id="rId11" w:history="1">
              <w:r w:rsidR="00B706C2" w:rsidRPr="00600574">
                <w:rPr>
                  <w:rStyle w:val="Hyperlink"/>
                </w:rPr>
                <w:t>Clear Community Web</w:t>
              </w:r>
            </w:hyperlink>
            <w:r w:rsidR="00B706C2">
              <w:t xml:space="preserve"> with programmes </w:t>
            </w:r>
            <w:r w:rsidR="008751EA">
              <w:t xml:space="preserve">to help the </w:t>
            </w:r>
            <w:r w:rsidR="00B706C2">
              <w:t xml:space="preserve"> elderly</w:t>
            </w:r>
            <w:r w:rsidR="008751EA">
              <w:t xml:space="preserve"> the use IT (including smart phones) </w:t>
            </w:r>
            <w:r w:rsidR="00B706C2">
              <w:t xml:space="preserve">to </w:t>
            </w:r>
            <w:r w:rsidR="008751EA">
              <w:t xml:space="preserve">keep in touch with relatives and </w:t>
            </w:r>
            <w:r w:rsidR="00B706C2">
              <w:t xml:space="preserve">access </w:t>
            </w:r>
            <w:r w:rsidR="008751EA">
              <w:t>public services, including NHS.</w:t>
            </w:r>
          </w:p>
          <w:p w14:paraId="314F16B2" w14:textId="77777777" w:rsidR="00B706C2" w:rsidRDefault="00B706C2" w:rsidP="00AB4B47">
            <w:pPr>
              <w:jc w:val="center"/>
            </w:pPr>
          </w:p>
        </w:tc>
        <w:tc>
          <w:tcPr>
            <w:tcW w:w="1125" w:type="dxa"/>
            <w:vAlign w:val="center"/>
          </w:tcPr>
          <w:p w14:paraId="42267571" w14:textId="47821305" w:rsidR="00B706C2" w:rsidRDefault="008751EA" w:rsidP="00AB4B47">
            <w:pPr>
              <w:jc w:val="center"/>
            </w:pPr>
            <w:r>
              <w:t>Programmes in North Croydon and South Lambeth</w:t>
            </w:r>
          </w:p>
        </w:tc>
        <w:tc>
          <w:tcPr>
            <w:tcW w:w="2232" w:type="dxa"/>
            <w:vAlign w:val="center"/>
          </w:tcPr>
          <w:p w14:paraId="58745487" w14:textId="33A98581" w:rsidR="00B706C2" w:rsidRDefault="00AB4B47" w:rsidP="00AB4B47">
            <w:pPr>
              <w:jc w:val="center"/>
            </w:pPr>
            <w:hyperlink r:id="rId12" w:history="1">
              <w:r w:rsidR="00B706C2" w:rsidRPr="00600574">
                <w:rPr>
                  <w:rStyle w:val="Hyperlink"/>
                </w:rPr>
                <w:t>Clear Community Web</w:t>
              </w:r>
            </w:hyperlink>
          </w:p>
        </w:tc>
        <w:tc>
          <w:tcPr>
            <w:tcW w:w="1276" w:type="dxa"/>
            <w:vAlign w:val="center"/>
          </w:tcPr>
          <w:p w14:paraId="01DBAF24" w14:textId="4816171C" w:rsidR="00B706C2" w:rsidRDefault="008751EA" w:rsidP="00AB4B47">
            <w:pPr>
              <w:jc w:val="center"/>
            </w:pPr>
            <w:r>
              <w:t>Some already operational, others planned</w:t>
            </w:r>
          </w:p>
        </w:tc>
        <w:tc>
          <w:tcPr>
            <w:tcW w:w="1424" w:type="dxa"/>
            <w:vAlign w:val="center"/>
          </w:tcPr>
          <w:p w14:paraId="31229EEB" w14:textId="64208EAA" w:rsidR="00B706C2" w:rsidRDefault="008751EA" w:rsidP="00AB4B47">
            <w:pPr>
              <w:jc w:val="center"/>
            </w:pPr>
            <w:r>
              <w:t>Help with bid preparation</w:t>
            </w:r>
            <w:r w:rsidR="003349DD">
              <w:t>,</w:t>
            </w:r>
            <w:r>
              <w:t xml:space="preserve">  planning and mon</w:t>
            </w:r>
            <w:r w:rsidR="003349DD">
              <w:t>itoring as well as with hands-on, physical events</w:t>
            </w:r>
          </w:p>
        </w:tc>
      </w:tr>
      <w:tr w:rsidR="00B706C2" w14:paraId="70391A21" w14:textId="18376BE6" w:rsidTr="00AB4B47">
        <w:tc>
          <w:tcPr>
            <w:tcW w:w="1268" w:type="dxa"/>
            <w:vAlign w:val="center"/>
          </w:tcPr>
          <w:p w14:paraId="556D49D9" w14:textId="500E0685" w:rsidR="00B706C2" w:rsidRDefault="003349DD" w:rsidP="00AB4B47">
            <w:pPr>
              <w:jc w:val="center"/>
            </w:pPr>
            <w:r>
              <w:t>Norwood Cyber</w:t>
            </w:r>
            <w:r w:rsidR="00F221BE">
              <w:t xml:space="preserve"> C</w:t>
            </w:r>
            <w:r>
              <w:t>ommunity Safety Partnership</w:t>
            </w:r>
          </w:p>
        </w:tc>
        <w:tc>
          <w:tcPr>
            <w:tcW w:w="2883" w:type="dxa"/>
            <w:vAlign w:val="center"/>
          </w:tcPr>
          <w:p w14:paraId="4822CC76" w14:textId="451CF256" w:rsidR="00B706C2" w:rsidRDefault="003349DD" w:rsidP="00AB4B47">
            <w:pPr>
              <w:jc w:val="center"/>
            </w:pPr>
            <w:r>
              <w:t xml:space="preserve">Pilot </w:t>
            </w:r>
            <w:r w:rsidR="00F221BE">
              <w:t xml:space="preserve">to join CRC services, via </w:t>
            </w:r>
            <w:hyperlink r:id="rId13" w:history="1">
              <w:r w:rsidR="00086703" w:rsidRPr="00086703">
                <w:rPr>
                  <w:rStyle w:val="Hyperlink"/>
                </w:rPr>
                <w:t>SNT</w:t>
              </w:r>
            </w:hyperlink>
            <w:r w:rsidR="00086703">
              <w:t xml:space="preserve">s and </w:t>
            </w:r>
            <w:hyperlink r:id="rId14" w:history="1">
              <w:r w:rsidR="00086703" w:rsidRPr="00086703">
                <w:rPr>
                  <w:rStyle w:val="Hyperlink"/>
                </w:rPr>
                <w:t>Neighbourhood Watch</w:t>
              </w:r>
            </w:hyperlink>
            <w:r w:rsidR="008C664A">
              <w:t>,</w:t>
            </w:r>
            <w:r w:rsidR="00086703">
              <w:t xml:space="preserve"> to  </w:t>
            </w:r>
            <w:r>
              <w:t>national programmes for on-line safety, safeguarding</w:t>
            </w:r>
            <w:r w:rsidR="004C451A">
              <w:t xml:space="preserve"> and victim support (abuse, fraud, VAGW etc.) across law enforcement, education, health and wellbeing boundaries.</w:t>
            </w:r>
            <w:r w:rsidR="00B706C2">
              <w:t xml:space="preserve"> </w:t>
            </w:r>
            <w:r w:rsidR="00F221BE">
              <w:t>.</w:t>
            </w:r>
          </w:p>
          <w:p w14:paraId="5CB6EB3D" w14:textId="77777777" w:rsidR="00B706C2" w:rsidRDefault="00B706C2" w:rsidP="00AB4B47">
            <w:pPr>
              <w:jc w:val="center"/>
            </w:pPr>
          </w:p>
        </w:tc>
        <w:tc>
          <w:tcPr>
            <w:tcW w:w="1125" w:type="dxa"/>
            <w:vAlign w:val="center"/>
          </w:tcPr>
          <w:p w14:paraId="706B6217" w14:textId="028994CE" w:rsidR="00B706C2" w:rsidRDefault="004C451A" w:rsidP="00AB4B47">
            <w:pPr>
              <w:jc w:val="center"/>
            </w:pPr>
            <w:r>
              <w:t xml:space="preserve">Planning </w:t>
            </w:r>
            <w:r w:rsidR="00F221BE">
              <w:t xml:space="preserve">event </w:t>
            </w:r>
            <w:r w:rsidR="008C664A">
              <w:t xml:space="preserve">and reviews of draft materials </w:t>
            </w:r>
            <w:r>
              <w:t>Sept</w:t>
            </w:r>
            <w:r w:rsidR="00F221BE">
              <w:t>/Oct</w:t>
            </w:r>
          </w:p>
        </w:tc>
        <w:tc>
          <w:tcPr>
            <w:tcW w:w="2232" w:type="dxa"/>
            <w:vAlign w:val="center"/>
          </w:tcPr>
          <w:p w14:paraId="629F11E0" w14:textId="5B33F4BA" w:rsidR="00B706C2" w:rsidRPr="00534FBA" w:rsidRDefault="00B706C2" w:rsidP="00AB4B47">
            <w:pPr>
              <w:jc w:val="center"/>
              <w:rPr>
                <w:lang w:val="fr-FR"/>
              </w:rPr>
            </w:pPr>
            <w:r w:rsidRPr="00534FBA">
              <w:rPr>
                <w:lang w:val="fr-FR"/>
              </w:rPr>
              <w:t>philip virgo virgo.philip@outlook.com</w:t>
            </w:r>
          </w:p>
        </w:tc>
        <w:tc>
          <w:tcPr>
            <w:tcW w:w="1276" w:type="dxa"/>
            <w:vAlign w:val="center"/>
          </w:tcPr>
          <w:p w14:paraId="0B7DB298" w14:textId="731E41DA" w:rsidR="00B706C2" w:rsidRDefault="008C664A" w:rsidP="00AB4B47">
            <w:pPr>
              <w:jc w:val="center"/>
            </w:pPr>
            <w:r>
              <w:t>From mid-August  on</w:t>
            </w:r>
          </w:p>
        </w:tc>
        <w:tc>
          <w:tcPr>
            <w:tcW w:w="1424" w:type="dxa"/>
            <w:vAlign w:val="center"/>
          </w:tcPr>
          <w:p w14:paraId="213317D2" w14:textId="6AD1500A" w:rsidR="00B706C2" w:rsidRDefault="008C664A" w:rsidP="00AB4B47">
            <w:pPr>
              <w:jc w:val="center"/>
            </w:pPr>
            <w:r>
              <w:t>Help with reviewing guidance materials/ websites for easy access via community groups</w:t>
            </w:r>
          </w:p>
        </w:tc>
      </w:tr>
      <w:tr w:rsidR="00B706C2" w14:paraId="33E81F17" w14:textId="40258EC8" w:rsidTr="00AB4B47">
        <w:tc>
          <w:tcPr>
            <w:tcW w:w="1268" w:type="dxa"/>
            <w:vAlign w:val="center"/>
          </w:tcPr>
          <w:p w14:paraId="79EAAFE9" w14:textId="77777777" w:rsidR="00B706C2" w:rsidRDefault="00B706C2" w:rsidP="00AB4B47">
            <w:pPr>
              <w:jc w:val="center"/>
            </w:pPr>
            <w:r>
              <w:t>Dragons Dens</w:t>
            </w:r>
          </w:p>
          <w:p w14:paraId="235DBB50" w14:textId="77777777" w:rsidR="00B706C2" w:rsidRDefault="00B706C2" w:rsidP="00AB4B47">
            <w:pPr>
              <w:jc w:val="center"/>
            </w:pPr>
          </w:p>
          <w:p w14:paraId="59AC4492" w14:textId="51437B86" w:rsidR="00B706C2" w:rsidRDefault="00B706C2" w:rsidP="00AB4B47">
            <w:pPr>
              <w:jc w:val="center"/>
            </w:pPr>
            <w:r>
              <w:t>to help test proposals for guidance and support on audiences representative of different communities, including</w:t>
            </w:r>
          </w:p>
        </w:tc>
        <w:tc>
          <w:tcPr>
            <w:tcW w:w="2883" w:type="dxa"/>
            <w:vAlign w:val="center"/>
          </w:tcPr>
          <w:p w14:paraId="152EF134" w14:textId="77777777" w:rsidR="00B706C2" w:rsidRDefault="00B706C2" w:rsidP="00AB4B47">
            <w:pPr>
              <w:pStyle w:val="ListParagraph"/>
              <w:numPr>
                <w:ilvl w:val="0"/>
                <w:numId w:val="2"/>
              </w:numPr>
              <w:jc w:val="center"/>
              <w:rPr>
                <w:lang w:eastAsia="en-US"/>
              </w:rPr>
            </w:pPr>
            <w:r>
              <w:rPr>
                <w:lang w:eastAsia="en-US"/>
              </w:rPr>
              <w:t xml:space="preserve">Accurate, authoritative, usable and evolving guidance for use by Local Neighbourhood Watch, Safer Neighbourhood Partnership and Business Improvement District participants on evolving incident notification, crime reporting and intelligence sharing processes, how to use them, and what to expect.  </w:t>
            </w:r>
            <w:r w:rsidRPr="00432B18">
              <w:rPr>
                <w:b/>
                <w:bCs/>
                <w:lang w:eastAsia="en-US"/>
              </w:rPr>
              <w:t>See appendix 1 for a partial summary of current sources</w:t>
            </w:r>
            <w:r>
              <w:rPr>
                <w:lang w:eastAsia="en-US"/>
              </w:rPr>
              <w:t>.</w:t>
            </w:r>
          </w:p>
          <w:p w14:paraId="44E80A05" w14:textId="7AF88C89" w:rsidR="00B706C2" w:rsidRDefault="00B706C2" w:rsidP="00AB4B47">
            <w:pPr>
              <w:pStyle w:val="ListParagraph"/>
              <w:numPr>
                <w:ilvl w:val="0"/>
                <w:numId w:val="2"/>
              </w:numPr>
              <w:jc w:val="center"/>
              <w:rPr>
                <w:lang w:eastAsia="en-US"/>
              </w:rPr>
            </w:pPr>
            <w:r>
              <w:rPr>
                <w:lang w:eastAsia="en-US"/>
              </w:rPr>
              <w:lastRenderedPageBreak/>
              <w:t xml:space="preserve">Guidance including for different target audiences (age, culture, sector etc.) on </w:t>
            </w:r>
            <w:r w:rsidRPr="001A3BB5">
              <w:rPr>
                <w:rFonts w:asciiTheme="minorHAnsi" w:eastAsia="Times New Roman" w:hAnsiTheme="minorHAnsi" w:cstheme="minorHAnsi"/>
              </w:rPr>
              <w:t>Cyber Security, Counter-Fraud, On-line safety and Safeguarding</w:t>
            </w:r>
            <w:r>
              <w:rPr>
                <w:rFonts w:asciiTheme="minorHAnsi" w:eastAsia="Times New Roman" w:hAnsiTheme="minorHAnsi" w:cstheme="minorHAnsi"/>
              </w:rPr>
              <w:t xml:space="preserve">. </w:t>
            </w:r>
            <w:r w:rsidRPr="00432B18">
              <w:rPr>
                <w:rFonts w:asciiTheme="minorHAnsi" w:eastAsia="Times New Roman" w:hAnsiTheme="minorHAnsi" w:cstheme="minorHAnsi"/>
                <w:b/>
                <w:bCs/>
              </w:rPr>
              <w:t>See appendix 2 for a partial summary.</w:t>
            </w:r>
          </w:p>
          <w:p w14:paraId="14D52927" w14:textId="77777777" w:rsidR="00B706C2" w:rsidRDefault="00B706C2" w:rsidP="00AB4B47">
            <w:pPr>
              <w:pStyle w:val="ListParagraph"/>
              <w:numPr>
                <w:ilvl w:val="0"/>
                <w:numId w:val="2"/>
              </w:numPr>
              <w:jc w:val="center"/>
              <w:rPr>
                <w:lang w:eastAsia="en-US"/>
              </w:rPr>
            </w:pPr>
            <w:r>
              <w:rPr>
                <w:lang w:eastAsia="en-US"/>
              </w:rPr>
              <w:t xml:space="preserve">Local Victim Support and Crime Prevention services, e.g. for </w:t>
            </w:r>
            <w:hyperlink r:id="rId15" w:history="1">
              <w:r w:rsidRPr="00650B18">
                <w:rPr>
                  <w:rStyle w:val="Hyperlink"/>
                  <w:lang w:eastAsia="en-US"/>
                </w:rPr>
                <w:t>Cyber Alarm</w:t>
              </w:r>
            </w:hyperlink>
            <w:r>
              <w:rPr>
                <w:lang w:eastAsia="en-US"/>
              </w:rPr>
              <w:t xml:space="preserve">, </w:t>
            </w:r>
            <w:hyperlink r:id="rId16" w:history="1">
              <w:r w:rsidRPr="00650B18">
                <w:rPr>
                  <w:rStyle w:val="Hyperlink"/>
                  <w:lang w:eastAsia="en-US"/>
                </w:rPr>
                <w:t>London CRC</w:t>
              </w:r>
            </w:hyperlink>
            <w:r>
              <w:rPr>
                <w:lang w:eastAsia="en-US"/>
              </w:rPr>
              <w:t xml:space="preserve"> etc.</w:t>
            </w:r>
          </w:p>
          <w:p w14:paraId="40CF7420" w14:textId="50986DA5" w:rsidR="00B706C2" w:rsidRDefault="00B706C2" w:rsidP="00AB4B47">
            <w:pPr>
              <w:jc w:val="center"/>
            </w:pPr>
            <w:r>
              <w:t xml:space="preserve">Joining Youth Outreach, work experience and welfare to work programmes to cyber talent acquisition and technical/professional career development programmes: </w:t>
            </w:r>
            <w:r w:rsidRPr="00495BD6">
              <w:rPr>
                <w:b/>
                <w:bCs/>
              </w:rPr>
              <w:t>See Appendices 3 &amp; 4</w:t>
            </w:r>
          </w:p>
        </w:tc>
        <w:tc>
          <w:tcPr>
            <w:tcW w:w="1125" w:type="dxa"/>
            <w:vAlign w:val="center"/>
          </w:tcPr>
          <w:p w14:paraId="2DB3A18E" w14:textId="77777777" w:rsidR="00B706C2" w:rsidRDefault="008C664A" w:rsidP="00AB4B47">
            <w:pPr>
              <w:jc w:val="center"/>
            </w:pPr>
            <w:r>
              <w:lastRenderedPageBreak/>
              <w:t>Pilot events</w:t>
            </w:r>
          </w:p>
          <w:p w14:paraId="71A6B65B" w14:textId="464B88EB" w:rsidR="008C664A" w:rsidRDefault="008C664A" w:rsidP="00AB4B47">
            <w:pPr>
              <w:jc w:val="center"/>
            </w:pPr>
            <w:r>
              <w:t>October onwards</w:t>
            </w:r>
          </w:p>
        </w:tc>
        <w:tc>
          <w:tcPr>
            <w:tcW w:w="2232" w:type="dxa"/>
            <w:vAlign w:val="center"/>
          </w:tcPr>
          <w:p w14:paraId="23AEACE2" w14:textId="2DC9F100" w:rsidR="00B706C2" w:rsidRPr="00534FBA" w:rsidRDefault="00B706C2" w:rsidP="00AB4B47">
            <w:pPr>
              <w:jc w:val="center"/>
              <w:rPr>
                <w:lang w:val="fr-FR"/>
              </w:rPr>
            </w:pPr>
            <w:r w:rsidRPr="00534FBA">
              <w:rPr>
                <w:lang w:val="fr-FR"/>
              </w:rPr>
              <w:t>philip virgo &lt;virgo.philip@outlook.com&gt;</w:t>
            </w:r>
          </w:p>
        </w:tc>
        <w:tc>
          <w:tcPr>
            <w:tcW w:w="1276" w:type="dxa"/>
            <w:vAlign w:val="center"/>
          </w:tcPr>
          <w:p w14:paraId="7F2B1C42" w14:textId="3AB83E9C" w:rsidR="00B706C2" w:rsidRPr="00E95AFA" w:rsidRDefault="008C664A" w:rsidP="00AB4B47">
            <w:pPr>
              <w:jc w:val="center"/>
            </w:pPr>
            <w:r>
              <w:t xml:space="preserve">Planning from </w:t>
            </w:r>
            <w:proofErr w:type="spellStart"/>
            <w:r>
              <w:t>Septemberonwards</w:t>
            </w:r>
            <w:proofErr w:type="spellEnd"/>
          </w:p>
        </w:tc>
        <w:tc>
          <w:tcPr>
            <w:tcW w:w="1424" w:type="dxa"/>
            <w:vAlign w:val="center"/>
          </w:tcPr>
          <w:p w14:paraId="17B17393" w14:textId="77777777" w:rsidR="00BD1D01" w:rsidRDefault="00BD1D01" w:rsidP="00AB4B47">
            <w:pPr>
              <w:jc w:val="center"/>
            </w:pPr>
            <w:r>
              <w:t>Help with assembling  reviewers from target audiences.</w:t>
            </w:r>
          </w:p>
          <w:p w14:paraId="7BE37109" w14:textId="2C345C2E" w:rsidR="00B706C2" w:rsidRDefault="00BD1D01" w:rsidP="00AB4B47">
            <w:pPr>
              <w:jc w:val="center"/>
            </w:pPr>
            <w:r>
              <w:t>Help with identifying &amp; shortlisting proposals for review</w:t>
            </w:r>
          </w:p>
        </w:tc>
      </w:tr>
      <w:tr w:rsidR="00B706C2" w14:paraId="3D79FF11" w14:textId="5F745310" w:rsidTr="00AB4B47">
        <w:tc>
          <w:tcPr>
            <w:tcW w:w="1268" w:type="dxa"/>
            <w:vAlign w:val="center"/>
          </w:tcPr>
          <w:p w14:paraId="297E8C7A" w14:textId="77777777" w:rsidR="00B706C2" w:rsidRDefault="00B706C2" w:rsidP="00AB4B47">
            <w:pPr>
              <w:jc w:val="center"/>
            </w:pPr>
          </w:p>
        </w:tc>
        <w:tc>
          <w:tcPr>
            <w:tcW w:w="2883" w:type="dxa"/>
            <w:vAlign w:val="center"/>
          </w:tcPr>
          <w:p w14:paraId="76DFE3C8" w14:textId="77777777" w:rsidR="00B706C2" w:rsidRDefault="00B706C2" w:rsidP="00AB4B47">
            <w:pPr>
              <w:pStyle w:val="ListParagraph"/>
              <w:ind w:left="360"/>
              <w:jc w:val="center"/>
              <w:rPr>
                <w:lang w:eastAsia="en-US"/>
              </w:rPr>
            </w:pPr>
          </w:p>
        </w:tc>
        <w:tc>
          <w:tcPr>
            <w:tcW w:w="1125" w:type="dxa"/>
            <w:vAlign w:val="center"/>
          </w:tcPr>
          <w:p w14:paraId="06326A18" w14:textId="77777777" w:rsidR="00B706C2" w:rsidRDefault="00B706C2" w:rsidP="00AB4B47">
            <w:pPr>
              <w:jc w:val="center"/>
            </w:pPr>
          </w:p>
        </w:tc>
        <w:tc>
          <w:tcPr>
            <w:tcW w:w="2232" w:type="dxa"/>
            <w:vAlign w:val="center"/>
          </w:tcPr>
          <w:p w14:paraId="571CC6B3" w14:textId="77777777" w:rsidR="00B706C2" w:rsidRPr="00E95AFA" w:rsidRDefault="00B706C2" w:rsidP="00AB4B47">
            <w:pPr>
              <w:jc w:val="center"/>
            </w:pPr>
          </w:p>
        </w:tc>
        <w:tc>
          <w:tcPr>
            <w:tcW w:w="1276" w:type="dxa"/>
            <w:vAlign w:val="center"/>
          </w:tcPr>
          <w:p w14:paraId="05FFB2C6" w14:textId="77777777" w:rsidR="00B706C2" w:rsidRDefault="00B706C2" w:rsidP="00AB4B47">
            <w:pPr>
              <w:jc w:val="center"/>
            </w:pPr>
          </w:p>
        </w:tc>
        <w:tc>
          <w:tcPr>
            <w:tcW w:w="1424" w:type="dxa"/>
            <w:vAlign w:val="center"/>
          </w:tcPr>
          <w:p w14:paraId="0CA38321" w14:textId="77777777" w:rsidR="00B706C2" w:rsidRDefault="00B706C2" w:rsidP="00AB4B47">
            <w:pPr>
              <w:jc w:val="center"/>
            </w:pPr>
          </w:p>
        </w:tc>
      </w:tr>
    </w:tbl>
    <w:p w14:paraId="38ED21CA" w14:textId="77777777" w:rsidR="00654ACD" w:rsidRDefault="00654ACD"/>
    <w:p w14:paraId="71B13114" w14:textId="2D504485" w:rsidR="00654ACD" w:rsidRPr="004423F4" w:rsidRDefault="00654ACD" w:rsidP="00BD1D01">
      <w:r w:rsidRPr="00BD1D01">
        <w:rPr>
          <w:b/>
          <w:bCs/>
        </w:rPr>
        <w:t xml:space="preserve">What is different about this </w:t>
      </w:r>
      <w:r w:rsidR="007204AF">
        <w:rPr>
          <w:b/>
          <w:bCs/>
        </w:rPr>
        <w:t>inter-linked set of programmes</w:t>
      </w:r>
      <w:r w:rsidR="005D122F">
        <w:rPr>
          <w:b/>
          <w:bCs/>
        </w:rPr>
        <w:t xml:space="preserve">, </w:t>
      </w:r>
      <w:r w:rsidRPr="00BD1D01">
        <w:rPr>
          <w:b/>
          <w:bCs/>
        </w:rPr>
        <w:t xml:space="preserve"> </w:t>
      </w:r>
      <w:r w:rsidR="007204AF">
        <w:rPr>
          <w:b/>
          <w:bCs/>
        </w:rPr>
        <w:t>linked to ISC first cannon: protect society</w:t>
      </w:r>
      <w:r w:rsidR="005D122F">
        <w:rPr>
          <w:b/>
          <w:bCs/>
        </w:rPr>
        <w:t xml:space="preserve">? </w:t>
      </w:r>
      <w:r w:rsidR="007204AF">
        <w:rPr>
          <w:b/>
          <w:bCs/>
        </w:rPr>
        <w:t xml:space="preserve"> </w:t>
      </w:r>
    </w:p>
    <w:p w14:paraId="7C47B988" w14:textId="0034624B" w:rsidR="00BD1D01" w:rsidRDefault="00BD1D01" w:rsidP="00E15A46">
      <w:pPr>
        <w:spacing w:after="0" w:line="240" w:lineRule="auto"/>
      </w:pPr>
      <w:r>
        <w:t xml:space="preserve">The intentions </w:t>
      </w:r>
      <w:r w:rsidR="00180464">
        <w:t xml:space="preserve">are </w:t>
      </w:r>
      <w:r>
        <w:t>to</w:t>
      </w:r>
      <w:r w:rsidR="00180464">
        <w:t>:</w:t>
      </w:r>
      <w:r>
        <w:t xml:space="preserve"> </w:t>
      </w:r>
    </w:p>
    <w:p w14:paraId="74AB973B" w14:textId="77777777" w:rsidR="00E15A46" w:rsidRDefault="00E15A46" w:rsidP="00E15A46">
      <w:pPr>
        <w:spacing w:after="0" w:line="240" w:lineRule="auto"/>
      </w:pPr>
    </w:p>
    <w:p w14:paraId="7123CB39" w14:textId="5A649A60" w:rsidR="00654ACD" w:rsidRDefault="00654ACD" w:rsidP="00E15A46">
      <w:pPr>
        <w:pStyle w:val="ListParagraph"/>
        <w:numPr>
          <w:ilvl w:val="0"/>
          <w:numId w:val="5"/>
        </w:numPr>
        <w:ind w:left="0" w:firstLine="0"/>
      </w:pPr>
      <w:r w:rsidRPr="00BD1D01">
        <w:rPr>
          <w:b/>
          <w:bCs/>
        </w:rPr>
        <w:t>mix and match ideas</w:t>
      </w:r>
      <w:r>
        <w:t xml:space="preserve"> </w:t>
      </w:r>
      <w:r w:rsidRPr="00180464">
        <w:rPr>
          <w:b/>
          <w:bCs/>
        </w:rPr>
        <w:t>from existing, authoritative, reputable and proven programmes</w:t>
      </w:r>
      <w:r>
        <w:t xml:space="preserve">, </w:t>
      </w:r>
      <w:r w:rsidRPr="00EF5CE0">
        <w:t>us</w:t>
      </w:r>
      <w:r>
        <w:t xml:space="preserve">ing </w:t>
      </w:r>
      <w:r w:rsidRPr="00EF5CE0">
        <w:t xml:space="preserve">volunteers </w:t>
      </w:r>
      <w:r w:rsidRPr="00BD1D01">
        <w:rPr>
          <w:b/>
          <w:bCs/>
          <w:i/>
          <w:iCs/>
        </w:rPr>
        <w:t>with relevant professional experience</w:t>
      </w:r>
      <w:r>
        <w:t xml:space="preserve"> who are not bound by the organisational constraints or priorities that have prevented others from crossing silo boundaries - but who understand the reasons for those constraints and/or priorities. </w:t>
      </w:r>
    </w:p>
    <w:p w14:paraId="1A926D29" w14:textId="77777777" w:rsidR="00BD1D01" w:rsidRDefault="00BD1D01" w:rsidP="00E15A46">
      <w:pPr>
        <w:spacing w:after="0" w:line="240" w:lineRule="auto"/>
      </w:pPr>
    </w:p>
    <w:p w14:paraId="3B6DBDFB" w14:textId="0D23B6FD" w:rsidR="00654ACD" w:rsidRDefault="00654ACD" w:rsidP="00E15A46">
      <w:pPr>
        <w:pStyle w:val="ListParagraph"/>
        <w:numPr>
          <w:ilvl w:val="0"/>
          <w:numId w:val="5"/>
        </w:numPr>
        <w:ind w:left="0" w:firstLine="0"/>
      </w:pPr>
      <w:r w:rsidRPr="00180464">
        <w:rPr>
          <w:b/>
          <w:bCs/>
        </w:rPr>
        <w:t xml:space="preserve">build on and join up existing </w:t>
      </w:r>
      <w:r w:rsidR="00180464" w:rsidRPr="00180464">
        <w:rPr>
          <w:b/>
          <w:bCs/>
        </w:rPr>
        <w:t>programmes</w:t>
      </w:r>
      <w:r w:rsidR="00180464">
        <w:t xml:space="preserve"> for </w:t>
      </w:r>
      <w:r>
        <w:t>awareness, child protection, education, health, wellbeing and abuse, crime and violence reduction</w:t>
      </w:r>
      <w:r w:rsidR="00180464">
        <w:t xml:space="preserve">, </w:t>
      </w:r>
      <w:r>
        <w:t xml:space="preserve">using the processes that can be endorsed by the national partners and publicised for replication elsewhere. We also intend to link these to programmes to attract and develop talent for careers in cybersecurity at all levels. </w:t>
      </w:r>
    </w:p>
    <w:p w14:paraId="7B6AB1A5" w14:textId="77777777" w:rsidR="00E15A46" w:rsidRDefault="00E15A46" w:rsidP="00E15A46">
      <w:pPr>
        <w:pStyle w:val="ListParagraph"/>
        <w:ind w:left="0"/>
      </w:pPr>
    </w:p>
    <w:p w14:paraId="4D5220E7" w14:textId="77777777" w:rsidR="00E15A46" w:rsidRDefault="00E15A46" w:rsidP="00E15A46">
      <w:pPr>
        <w:pStyle w:val="ListParagraph"/>
        <w:numPr>
          <w:ilvl w:val="0"/>
          <w:numId w:val="5"/>
        </w:numPr>
        <w:ind w:left="0" w:firstLine="0"/>
      </w:pPr>
      <w:r>
        <w:t xml:space="preserve">join-up support and guidance for those who </w:t>
      </w:r>
      <w:r w:rsidRPr="00E15A46">
        <w:rPr>
          <w:b/>
          <w:bCs/>
          <w:i/>
          <w:iCs/>
        </w:rPr>
        <w:t>are</w:t>
      </w:r>
      <w:r>
        <w:t xml:space="preserve"> trusted, when and where they need it most - e.g. via </w:t>
      </w:r>
      <w:hyperlink r:id="rId17" w:history="1">
        <w:r w:rsidRPr="00893DF4">
          <w:rPr>
            <w:rStyle w:val="Hyperlink"/>
          </w:rPr>
          <w:t>caring for carers</w:t>
        </w:r>
      </w:hyperlink>
      <w:r>
        <w:t xml:space="preserve"> programmes. That requires pre-vetted volunteers who understand how to organise, protect and monitor secure sharing in line with evolving good practice, in the interest of the individual not the organisation. </w:t>
      </w:r>
    </w:p>
    <w:p w14:paraId="7FF55A18" w14:textId="77777777" w:rsidR="00BD1D01" w:rsidRDefault="00BD1D01" w:rsidP="00E15A46">
      <w:pPr>
        <w:pStyle w:val="ListParagraph"/>
        <w:ind w:left="0"/>
      </w:pPr>
    </w:p>
    <w:p w14:paraId="56C7FA77" w14:textId="2656A839" w:rsidR="007204AF" w:rsidRDefault="00654ACD" w:rsidP="00E15A46">
      <w:pPr>
        <w:pStyle w:val="ListParagraph"/>
        <w:numPr>
          <w:ilvl w:val="0"/>
          <w:numId w:val="5"/>
        </w:numPr>
        <w:ind w:left="0" w:firstLine="0"/>
      </w:pPr>
      <w:r w:rsidRPr="007204AF">
        <w:rPr>
          <w:b/>
          <w:bCs/>
        </w:rPr>
        <w:t>find ethical, legal and effective ways of organising cross boundary co-operation to address supposed show-stoppers</w:t>
      </w:r>
      <w:r w:rsidR="00180464" w:rsidRPr="00180464">
        <w:t xml:space="preserve"> </w:t>
      </w:r>
      <w:r w:rsidR="00180464">
        <w:t xml:space="preserve">(e.g. GDPR) </w:t>
      </w:r>
      <w:r w:rsidR="007204AF">
        <w:t xml:space="preserve">by </w:t>
      </w:r>
      <w:r w:rsidR="00180464" w:rsidRPr="00180464">
        <w:t>using professionally experienced volunteers and part-time secondees</w:t>
      </w:r>
      <w:r w:rsidR="00180464">
        <w:t xml:space="preserve"> </w:t>
      </w:r>
      <w:r w:rsidR="007204AF">
        <w:t xml:space="preserve">to </w:t>
      </w:r>
      <w:r w:rsidR="00180464" w:rsidRPr="00180464">
        <w:t>work with those in central and local government, health wellbeing and law enforcement, as well as local charities and voluntary groups</w:t>
      </w:r>
      <w:r w:rsidR="00180464">
        <w:t>.</w:t>
      </w:r>
      <w:r w:rsidR="00180464" w:rsidRPr="00180464">
        <w:t xml:space="preserve"> </w:t>
      </w:r>
      <w:r w:rsidRPr="00180464">
        <w:t xml:space="preserve">Effective includes being attractive to the target audience and promoted via channels that will reach them.  </w:t>
      </w:r>
      <w:r>
        <w:t>Most programmes of workshops to help the elderly and vulnerable to safely access on-line services have a simple ban on the use of volunteers aged under 18 on safeguarding grounds.</w:t>
      </w:r>
      <w:r w:rsidR="007204AF">
        <w:t xml:space="preserve"> Therefore we aim to:</w:t>
      </w:r>
      <w:r>
        <w:t xml:space="preserve"> </w:t>
      </w:r>
    </w:p>
    <w:p w14:paraId="50E07E5F" w14:textId="77777777" w:rsidR="007204AF" w:rsidRPr="007204AF" w:rsidRDefault="007204AF" w:rsidP="00E15A46">
      <w:pPr>
        <w:pStyle w:val="ListParagraph"/>
        <w:ind w:left="0"/>
        <w:rPr>
          <w:b/>
          <w:bCs/>
        </w:rPr>
      </w:pPr>
    </w:p>
    <w:p w14:paraId="3D109C4B" w14:textId="420079DA" w:rsidR="00654ACD" w:rsidRDefault="00654ACD" w:rsidP="00E15A46">
      <w:pPr>
        <w:pStyle w:val="ListParagraph"/>
        <w:numPr>
          <w:ilvl w:val="0"/>
          <w:numId w:val="5"/>
        </w:numPr>
        <w:ind w:left="0" w:firstLine="0"/>
      </w:pPr>
      <w:r w:rsidRPr="007204AF">
        <w:rPr>
          <w:b/>
          <w:bCs/>
        </w:rPr>
        <w:lastRenderedPageBreak/>
        <w:t xml:space="preserve">use </w:t>
      </w:r>
      <w:r w:rsidR="007204AF" w:rsidRPr="007204AF">
        <w:rPr>
          <w:b/>
          <w:bCs/>
        </w:rPr>
        <w:t xml:space="preserve">programmes </w:t>
      </w:r>
      <w:r w:rsidRPr="007204AF">
        <w:rPr>
          <w:b/>
          <w:bCs/>
        </w:rPr>
        <w:t xml:space="preserve">to provide </w:t>
      </w:r>
      <w:r w:rsidRPr="007204AF">
        <w:rPr>
          <w:b/>
          <w:bCs/>
          <w:i/>
          <w:iCs/>
        </w:rPr>
        <w:t>structured, supervised</w:t>
      </w:r>
      <w:r w:rsidRPr="007204AF">
        <w:rPr>
          <w:b/>
          <w:bCs/>
        </w:rPr>
        <w:t xml:space="preserve"> </w:t>
      </w:r>
      <w:r w:rsidRPr="007204AF">
        <w:rPr>
          <w:b/>
          <w:bCs/>
          <w:i/>
          <w:iCs/>
        </w:rPr>
        <w:t>and monitored</w:t>
      </w:r>
      <w:r w:rsidRPr="007204AF">
        <w:rPr>
          <w:b/>
          <w:bCs/>
        </w:rPr>
        <w:t xml:space="preserve"> </w:t>
      </w:r>
      <w:r w:rsidRPr="007204AF">
        <w:rPr>
          <w:b/>
          <w:bCs/>
          <w:i/>
          <w:iCs/>
        </w:rPr>
        <w:t>work experience for teenagers</w:t>
      </w:r>
      <w:r w:rsidR="00E15A46">
        <w:rPr>
          <w:b/>
          <w:bCs/>
          <w:i/>
          <w:iCs/>
        </w:rPr>
        <w:t xml:space="preserve"> </w:t>
      </w:r>
      <w:r>
        <w:t xml:space="preserve"> </w:t>
      </w:r>
      <w:r w:rsidR="00E15A46">
        <w:t>and draw them into considering careers in cyber, security, law enforcement, community support etc. T</w:t>
      </w:r>
      <w:r>
        <w:t>hat will require adult volunteers (vetted as necessary) with the professional experience and skills to provide supervision and monitoring within processes agreed with relevant national regulators. Hence the importance of support from, for example Home Office to apply in London what has been learnt in the Plymouth Prevent pilot.</w:t>
      </w:r>
    </w:p>
    <w:p w14:paraId="6D2B4DE5" w14:textId="77777777" w:rsidR="007204AF" w:rsidRDefault="007204AF" w:rsidP="00E15A46">
      <w:pPr>
        <w:pStyle w:val="ListParagraph"/>
        <w:ind w:left="0"/>
      </w:pPr>
    </w:p>
    <w:p w14:paraId="1BE77D67" w14:textId="0F87A183" w:rsidR="00654ACD" w:rsidRDefault="00654ACD" w:rsidP="00E15A46">
      <w:pPr>
        <w:pStyle w:val="ListParagraph"/>
        <w:numPr>
          <w:ilvl w:val="0"/>
          <w:numId w:val="5"/>
        </w:numPr>
        <w:ind w:left="0" w:firstLine="0"/>
      </w:pPr>
      <w:r w:rsidRPr="007204AF">
        <w:rPr>
          <w:b/>
          <w:bCs/>
        </w:rPr>
        <w:t>focus on early intervention.</w:t>
      </w:r>
      <w:r>
        <w:t xml:space="preserve">  As much as 80% of community policing resource is taken up with problems related to mental health and/or drug abuse, often exacerbated by social media. Meanwhile many of those with “extreme talent”, sought by employers are often similarly vulnerable and paranoid. Early intervention and support involving faith and youth groups, teachers, welfare workers and clinical professionals, as well as law enforcement, will entail trusted and trustworthy information sharing between those who trust neither technology nor those they have never met. </w:t>
      </w:r>
    </w:p>
    <w:p w14:paraId="09106C6E" w14:textId="77777777" w:rsidR="00654ACD" w:rsidRDefault="00654ACD" w:rsidP="007204AF">
      <w:pPr>
        <w:spacing w:after="0" w:line="240" w:lineRule="auto"/>
      </w:pPr>
    </w:p>
    <w:p w14:paraId="561C64D8" w14:textId="77777777" w:rsidR="00654ACD" w:rsidRPr="000D6B43" w:rsidRDefault="00654ACD" w:rsidP="00E15A46">
      <w:pPr>
        <w:pStyle w:val="ListParagraph"/>
        <w:ind w:left="0"/>
        <w:rPr>
          <w:lang w:eastAsia="en-US"/>
        </w:rPr>
      </w:pPr>
      <w:r w:rsidRPr="00725524">
        <w:rPr>
          <w:b/>
          <w:bCs/>
          <w:lang w:eastAsia="en-US"/>
        </w:rPr>
        <w:t xml:space="preserve">Target supporters and participants </w:t>
      </w:r>
      <w:r w:rsidRPr="000D6B43">
        <w:rPr>
          <w:lang w:eastAsia="en-US"/>
        </w:rPr>
        <w:t>(some already confirmed in support</w:t>
      </w:r>
      <w:r>
        <w:rPr>
          <w:lang w:eastAsia="en-US"/>
        </w:rPr>
        <w:t>)</w:t>
      </w:r>
      <w:r w:rsidRPr="000D6B43">
        <w:rPr>
          <w:lang w:eastAsia="en-US"/>
        </w:rPr>
        <w:t xml:space="preserve"> </w:t>
      </w:r>
    </w:p>
    <w:p w14:paraId="1A5584BE" w14:textId="77777777" w:rsidR="00654ACD" w:rsidRDefault="00654ACD" w:rsidP="007204AF">
      <w:pPr>
        <w:spacing w:after="0" w:line="240" w:lineRule="auto"/>
        <w:rPr>
          <w:b/>
          <w:bCs/>
        </w:rPr>
      </w:pPr>
    </w:p>
    <w:p w14:paraId="5DD2316E" w14:textId="77777777" w:rsidR="00654ACD" w:rsidRPr="001B3FED" w:rsidRDefault="00654ACD" w:rsidP="007204AF">
      <w:pPr>
        <w:spacing w:after="0" w:line="240" w:lineRule="auto"/>
      </w:pPr>
      <w:r>
        <w:rPr>
          <w:b/>
          <w:bCs/>
        </w:rPr>
        <w:t xml:space="preserve">National and International:  </w:t>
      </w:r>
      <w:r>
        <w:t xml:space="preserve">Home Office (including Neighbourhood Watch and PREVENT), DCMS (including Cybersecurity Skills programmes) , DfE , ICO, NCSC, NPCC, National Grid for Learning, </w:t>
      </w:r>
      <w:proofErr w:type="spellStart"/>
      <w:r>
        <w:t>Comptia</w:t>
      </w:r>
      <w:proofErr w:type="spellEnd"/>
      <w:r>
        <w:t xml:space="preserve">, ISACA, ISC2, WCIT. Careers Guidance, Youth Programme and Welfare to Work providers (e.g. Founders4Schools, Prince’s Trust, PTG, Reed in Partnership). Cybersecurity employers and training providers in easy travelling of West Norwood and/or willing to support outreach facilities </w:t>
      </w:r>
    </w:p>
    <w:p w14:paraId="63BF42F1" w14:textId="77777777" w:rsidR="00654ACD" w:rsidRDefault="00654ACD" w:rsidP="007204AF">
      <w:pPr>
        <w:spacing w:after="0" w:line="240" w:lineRule="auto"/>
        <w:rPr>
          <w:b/>
          <w:bCs/>
        </w:rPr>
      </w:pPr>
    </w:p>
    <w:p w14:paraId="3B780CAA" w14:textId="77777777" w:rsidR="00654ACD" w:rsidRDefault="00654ACD" w:rsidP="007204AF">
      <w:pPr>
        <w:spacing w:after="0" w:line="240" w:lineRule="auto"/>
        <w:rPr>
          <w:b/>
          <w:bCs/>
        </w:rPr>
      </w:pPr>
      <w:r>
        <w:rPr>
          <w:b/>
          <w:bCs/>
        </w:rPr>
        <w:t xml:space="preserve">Regional: </w:t>
      </w:r>
      <w:r w:rsidRPr="007B2E9A">
        <w:t xml:space="preserve">GLA, Metropolitan Police, City of London Police, </w:t>
      </w:r>
      <w:r>
        <w:t xml:space="preserve">London Cyber Resilience Centre, </w:t>
      </w:r>
      <w:r w:rsidRPr="007B2E9A">
        <w:t>NHS (SELCCG)</w:t>
      </w:r>
      <w:r>
        <w:t xml:space="preserve">, Lambeth Safer Neighbourhood Board (as umbrella and link with the Council, Police, Emergency Services, Health and Wellbeing), Lambeth Wellbeing and Lambeth Made Safer.  </w:t>
      </w:r>
      <w:r>
        <w:rPr>
          <w:b/>
          <w:bCs/>
        </w:rPr>
        <w:t xml:space="preserve">   </w:t>
      </w:r>
    </w:p>
    <w:p w14:paraId="078AABEE" w14:textId="77777777" w:rsidR="00654ACD" w:rsidRDefault="00654ACD" w:rsidP="007204AF">
      <w:pPr>
        <w:spacing w:after="0" w:line="240" w:lineRule="auto"/>
        <w:rPr>
          <w:b/>
          <w:bCs/>
        </w:rPr>
      </w:pPr>
    </w:p>
    <w:p w14:paraId="6DF27897" w14:textId="77777777" w:rsidR="00654ACD" w:rsidRPr="007B2E9A" w:rsidRDefault="00654ACD" w:rsidP="007204AF">
      <w:pPr>
        <w:spacing w:after="0" w:line="240" w:lineRule="auto"/>
      </w:pPr>
      <w:r>
        <w:rPr>
          <w:b/>
          <w:bCs/>
        </w:rPr>
        <w:t xml:space="preserve">Local: </w:t>
      </w:r>
      <w:hyperlink r:id="rId18" w:history="1">
        <w:r w:rsidRPr="00D04DE3">
          <w:rPr>
            <w:rStyle w:val="Hyperlink"/>
          </w:rPr>
          <w:t>Norwood Community Safety Partnership</w:t>
        </w:r>
      </w:hyperlink>
      <w:r>
        <w:t>,</w:t>
      </w:r>
      <w:r>
        <w:rPr>
          <w:b/>
          <w:bCs/>
        </w:rPr>
        <w:t xml:space="preserve"> </w:t>
      </w:r>
      <w:hyperlink r:id="rId19" w:history="1">
        <w:r w:rsidRPr="00D04DE3">
          <w:rPr>
            <w:rStyle w:val="Hyperlink"/>
          </w:rPr>
          <w:t>Norwood Consortium</w:t>
        </w:r>
      </w:hyperlink>
      <w:r>
        <w:t xml:space="preserve">, </w:t>
      </w:r>
      <w:hyperlink r:id="rId20" w:history="1">
        <w:r w:rsidRPr="00C514A6">
          <w:rPr>
            <w:rStyle w:val="Hyperlink"/>
          </w:rPr>
          <w:t>Station to Station</w:t>
        </w:r>
      </w:hyperlink>
      <w:r>
        <w:t xml:space="preserve"> </w:t>
      </w:r>
      <w:r>
        <w:rPr>
          <w:b/>
          <w:bCs/>
        </w:rPr>
        <w:t xml:space="preserve"> </w:t>
      </w:r>
      <w:r w:rsidRPr="007B2E9A">
        <w:t>Hills Brook and Dale PEG,</w:t>
      </w:r>
      <w:r>
        <w:rPr>
          <w:b/>
          <w:bCs/>
        </w:rPr>
        <w:t xml:space="preserve"> </w:t>
      </w:r>
      <w:r w:rsidRPr="007B2E9A">
        <w:t>Thurlow Park/West Dulwich</w:t>
      </w:r>
      <w:r>
        <w:rPr>
          <w:b/>
          <w:bCs/>
        </w:rPr>
        <w:t xml:space="preserve"> </w:t>
      </w:r>
      <w:r w:rsidRPr="007B2E9A">
        <w:t>SNP, Northwood Practice PPG</w:t>
      </w:r>
      <w:r>
        <w:t xml:space="preserve">, </w:t>
      </w:r>
      <w:hyperlink r:id="rId21" w:history="1">
        <w:r w:rsidRPr="00C514A6">
          <w:rPr>
            <w:rStyle w:val="Hyperlink"/>
          </w:rPr>
          <w:t>Clear Community Web.</w:t>
        </w:r>
      </w:hyperlink>
      <w:r>
        <w:t xml:space="preserve"> </w:t>
      </w:r>
      <w:hyperlink r:id="rId22" w:history="1">
        <w:r w:rsidRPr="00C514A6">
          <w:rPr>
            <w:rStyle w:val="Hyperlink"/>
          </w:rPr>
          <w:t>The Well Centre</w:t>
        </w:r>
      </w:hyperlink>
      <w:r>
        <w:t xml:space="preserve"> ,   Primary and Secondary Schools, Community, Faith and Youth Groups.</w:t>
      </w:r>
      <w:r w:rsidRPr="007B2E9A">
        <w:t xml:space="preserve">    </w:t>
      </w:r>
    </w:p>
    <w:p w14:paraId="0A091C5D" w14:textId="77777777" w:rsidR="00654ACD" w:rsidRDefault="00654ACD" w:rsidP="007204AF">
      <w:pPr>
        <w:spacing w:after="0" w:line="240" w:lineRule="auto"/>
        <w:rPr>
          <w:b/>
          <w:bCs/>
        </w:rPr>
      </w:pPr>
      <w:r>
        <w:rPr>
          <w:b/>
          <w:bCs/>
        </w:rPr>
        <w:br w:type="page"/>
      </w:r>
    </w:p>
    <w:p w14:paraId="0E050583" w14:textId="77777777" w:rsidR="00654ACD" w:rsidRDefault="00654ACD"/>
    <w:sectPr w:rsidR="00654A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003BE" w14:textId="77777777" w:rsidR="00BB09B5" w:rsidRDefault="00BB09B5" w:rsidP="00654ACD">
      <w:pPr>
        <w:spacing w:after="0" w:line="240" w:lineRule="auto"/>
      </w:pPr>
      <w:r>
        <w:separator/>
      </w:r>
    </w:p>
  </w:endnote>
  <w:endnote w:type="continuationSeparator" w:id="0">
    <w:p w14:paraId="303D9AB5" w14:textId="77777777" w:rsidR="00BB09B5" w:rsidRDefault="00BB09B5" w:rsidP="0065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84C0" w14:textId="77777777" w:rsidR="00BB09B5" w:rsidRDefault="00BB09B5" w:rsidP="00654ACD">
      <w:pPr>
        <w:spacing w:after="0" w:line="240" w:lineRule="auto"/>
      </w:pPr>
      <w:r>
        <w:separator/>
      </w:r>
    </w:p>
  </w:footnote>
  <w:footnote w:type="continuationSeparator" w:id="0">
    <w:p w14:paraId="7219B957" w14:textId="77777777" w:rsidR="00BB09B5" w:rsidRDefault="00BB09B5" w:rsidP="00654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4E218A"/>
    <w:multiLevelType w:val="hybridMultilevel"/>
    <w:tmpl w:val="D0249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D02E0F"/>
    <w:multiLevelType w:val="hybridMultilevel"/>
    <w:tmpl w:val="80721A18"/>
    <w:lvl w:ilvl="0" w:tplc="E724E5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A232E8"/>
    <w:multiLevelType w:val="hybridMultilevel"/>
    <w:tmpl w:val="394EF45C"/>
    <w:lvl w:ilvl="0" w:tplc="8FECB5C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0E00407"/>
    <w:multiLevelType w:val="hybridMultilevel"/>
    <w:tmpl w:val="6F94F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9CA1F7B"/>
    <w:multiLevelType w:val="hybridMultilevel"/>
    <w:tmpl w:val="28D62352"/>
    <w:lvl w:ilvl="0" w:tplc="EFF2AC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KwNDU0NDYxMbO0MLVU0lEKTi0uzszPAykwrgUAuoV8GSwAAAA="/>
  </w:docVars>
  <w:rsids>
    <w:rsidRoot w:val="00806C7B"/>
    <w:rsid w:val="00077B9A"/>
    <w:rsid w:val="00086703"/>
    <w:rsid w:val="00180464"/>
    <w:rsid w:val="00210649"/>
    <w:rsid w:val="00331629"/>
    <w:rsid w:val="003349DD"/>
    <w:rsid w:val="00432EFE"/>
    <w:rsid w:val="004A2B93"/>
    <w:rsid w:val="004C451A"/>
    <w:rsid w:val="004E639E"/>
    <w:rsid w:val="00534FBA"/>
    <w:rsid w:val="005D122F"/>
    <w:rsid w:val="005E4CF0"/>
    <w:rsid w:val="00605C34"/>
    <w:rsid w:val="00616A71"/>
    <w:rsid w:val="00654ACD"/>
    <w:rsid w:val="007204AF"/>
    <w:rsid w:val="007638B3"/>
    <w:rsid w:val="00806C7B"/>
    <w:rsid w:val="008751EA"/>
    <w:rsid w:val="008C664A"/>
    <w:rsid w:val="00941CFF"/>
    <w:rsid w:val="00955D37"/>
    <w:rsid w:val="00AB4B47"/>
    <w:rsid w:val="00AC34EB"/>
    <w:rsid w:val="00B706C2"/>
    <w:rsid w:val="00BA5DAF"/>
    <w:rsid w:val="00BB09B5"/>
    <w:rsid w:val="00BD1D01"/>
    <w:rsid w:val="00C90E5E"/>
    <w:rsid w:val="00E15A46"/>
    <w:rsid w:val="00E17FC2"/>
    <w:rsid w:val="00E95AFA"/>
    <w:rsid w:val="00F221BE"/>
    <w:rsid w:val="00F5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5570D"/>
  <w15:chartTrackingRefBased/>
  <w15:docId w15:val="{FF0DD330-D42C-4F6F-B8F3-9E5F9584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4CF0"/>
    <w:rPr>
      <w:color w:val="0000FF"/>
      <w:u w:val="single"/>
    </w:rPr>
  </w:style>
  <w:style w:type="character" w:customStyle="1" w:styleId="wtemail">
    <w:name w:val="wt_email"/>
    <w:basedOn w:val="DefaultParagraphFont"/>
    <w:rsid w:val="005E4CF0"/>
  </w:style>
  <w:style w:type="character" w:styleId="UnresolvedMention">
    <w:name w:val="Unresolved Mention"/>
    <w:basedOn w:val="DefaultParagraphFont"/>
    <w:uiPriority w:val="99"/>
    <w:semiHidden/>
    <w:unhideWhenUsed/>
    <w:rsid w:val="00F554CE"/>
    <w:rPr>
      <w:color w:val="605E5C"/>
      <w:shd w:val="clear" w:color="auto" w:fill="E1DFDD"/>
    </w:rPr>
  </w:style>
  <w:style w:type="character" w:styleId="FollowedHyperlink">
    <w:name w:val="FollowedHyperlink"/>
    <w:basedOn w:val="DefaultParagraphFont"/>
    <w:uiPriority w:val="99"/>
    <w:semiHidden/>
    <w:unhideWhenUsed/>
    <w:rsid w:val="00F554CE"/>
    <w:rPr>
      <w:color w:val="954F72" w:themeColor="followedHyperlink"/>
      <w:u w:val="single"/>
    </w:rPr>
  </w:style>
  <w:style w:type="paragraph" w:styleId="ListParagraph">
    <w:name w:val="List Paragraph"/>
    <w:basedOn w:val="Normal"/>
    <w:uiPriority w:val="34"/>
    <w:qFormat/>
    <w:rsid w:val="00432EFE"/>
    <w:pPr>
      <w:spacing w:after="0" w:line="240" w:lineRule="auto"/>
      <w:ind w:left="720"/>
      <w:contextualSpacing/>
    </w:pPr>
    <w:rPr>
      <w:rFonts w:ascii="Calibri" w:hAnsi="Calibri" w:cs="Calibri"/>
      <w:lang w:eastAsia="en-GB"/>
    </w:rPr>
  </w:style>
  <w:style w:type="paragraph" w:styleId="Header">
    <w:name w:val="header"/>
    <w:basedOn w:val="Normal"/>
    <w:link w:val="HeaderChar"/>
    <w:uiPriority w:val="99"/>
    <w:unhideWhenUsed/>
    <w:rsid w:val="00654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CD"/>
  </w:style>
  <w:style w:type="paragraph" w:styleId="Footer">
    <w:name w:val="footer"/>
    <w:basedOn w:val="Normal"/>
    <w:link w:val="FooterChar"/>
    <w:uiPriority w:val="99"/>
    <w:unhideWhenUsed/>
    <w:rsid w:val="00654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7119">
      <w:bodyDiv w:val="1"/>
      <w:marLeft w:val="0"/>
      <w:marRight w:val="0"/>
      <w:marTop w:val="0"/>
      <w:marBottom w:val="0"/>
      <w:divBdr>
        <w:top w:val="none" w:sz="0" w:space="0" w:color="auto"/>
        <w:left w:val="none" w:sz="0" w:space="0" w:color="auto"/>
        <w:bottom w:val="none" w:sz="0" w:space="0" w:color="auto"/>
        <w:right w:val="none" w:sz="0" w:space="0" w:color="auto"/>
      </w:divBdr>
    </w:div>
    <w:div w:id="149754514">
      <w:bodyDiv w:val="1"/>
      <w:marLeft w:val="0"/>
      <w:marRight w:val="0"/>
      <w:marTop w:val="0"/>
      <w:marBottom w:val="0"/>
      <w:divBdr>
        <w:top w:val="none" w:sz="0" w:space="0" w:color="auto"/>
        <w:left w:val="none" w:sz="0" w:space="0" w:color="auto"/>
        <w:bottom w:val="none" w:sz="0" w:space="0" w:color="auto"/>
        <w:right w:val="none" w:sz="0" w:space="0" w:color="auto"/>
      </w:divBdr>
    </w:div>
    <w:div w:id="294455069">
      <w:bodyDiv w:val="1"/>
      <w:marLeft w:val="0"/>
      <w:marRight w:val="0"/>
      <w:marTop w:val="0"/>
      <w:marBottom w:val="0"/>
      <w:divBdr>
        <w:top w:val="none" w:sz="0" w:space="0" w:color="auto"/>
        <w:left w:val="none" w:sz="0" w:space="0" w:color="auto"/>
        <w:bottom w:val="none" w:sz="0" w:space="0" w:color="auto"/>
        <w:right w:val="none" w:sz="0" w:space="0" w:color="auto"/>
      </w:divBdr>
    </w:div>
    <w:div w:id="299190790">
      <w:bodyDiv w:val="1"/>
      <w:marLeft w:val="0"/>
      <w:marRight w:val="0"/>
      <w:marTop w:val="0"/>
      <w:marBottom w:val="0"/>
      <w:divBdr>
        <w:top w:val="none" w:sz="0" w:space="0" w:color="auto"/>
        <w:left w:val="none" w:sz="0" w:space="0" w:color="auto"/>
        <w:bottom w:val="none" w:sz="0" w:space="0" w:color="auto"/>
        <w:right w:val="none" w:sz="0" w:space="0" w:color="auto"/>
      </w:divBdr>
    </w:div>
    <w:div w:id="664556202">
      <w:bodyDiv w:val="1"/>
      <w:marLeft w:val="0"/>
      <w:marRight w:val="0"/>
      <w:marTop w:val="0"/>
      <w:marBottom w:val="0"/>
      <w:divBdr>
        <w:top w:val="none" w:sz="0" w:space="0" w:color="auto"/>
        <w:left w:val="none" w:sz="0" w:space="0" w:color="auto"/>
        <w:bottom w:val="none" w:sz="0" w:space="0" w:color="auto"/>
        <w:right w:val="none" w:sz="0" w:space="0" w:color="auto"/>
      </w:divBdr>
    </w:div>
    <w:div w:id="754477730">
      <w:bodyDiv w:val="1"/>
      <w:marLeft w:val="0"/>
      <w:marRight w:val="0"/>
      <w:marTop w:val="0"/>
      <w:marBottom w:val="0"/>
      <w:divBdr>
        <w:top w:val="none" w:sz="0" w:space="0" w:color="auto"/>
        <w:left w:val="none" w:sz="0" w:space="0" w:color="auto"/>
        <w:bottom w:val="none" w:sz="0" w:space="0" w:color="auto"/>
        <w:right w:val="none" w:sz="0" w:space="0" w:color="auto"/>
      </w:divBdr>
    </w:div>
    <w:div w:id="91763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doncrc.co.uk/" TargetMode="External"/><Relationship Id="rId13" Type="http://schemas.openxmlformats.org/officeDocument/2006/relationships/hyperlink" Target="https://www.met.police.uk/a/your-area/" TargetMode="External"/><Relationship Id="rId18" Type="http://schemas.openxmlformats.org/officeDocument/2006/relationships/hyperlink" Target="https://www.norwoodforum.org/norwood-community-safety-partnership" TargetMode="External"/><Relationship Id="rId3" Type="http://schemas.openxmlformats.org/officeDocument/2006/relationships/settings" Target="settings.xml"/><Relationship Id="rId21" Type="http://schemas.openxmlformats.org/officeDocument/2006/relationships/hyperlink" Target="https://clearcommunityweb.co.uk/" TargetMode="External"/><Relationship Id="rId7" Type="http://schemas.openxmlformats.org/officeDocument/2006/relationships/hyperlink" Target="https://nationalcrcgroup.co.uk/about-us/" TargetMode="External"/><Relationship Id="rId12" Type="http://schemas.openxmlformats.org/officeDocument/2006/relationships/hyperlink" Target="https://clearcommunityweb.co.uk/" TargetMode="External"/><Relationship Id="rId17" Type="http://schemas.openxmlformats.org/officeDocument/2006/relationships/hyperlink" Target="https://www.carershub.org.uk/" TargetMode="External"/><Relationship Id="rId2" Type="http://schemas.openxmlformats.org/officeDocument/2006/relationships/styles" Target="styles.xml"/><Relationship Id="rId16" Type="http://schemas.openxmlformats.org/officeDocument/2006/relationships/hyperlink" Target="https://www.londoncrc.co.uk/" TargetMode="External"/><Relationship Id="rId20" Type="http://schemas.openxmlformats.org/officeDocument/2006/relationships/hyperlink" Target="https://stationtostation.lond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earcommunityweb.co.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yberalarm.police.uk/" TargetMode="External"/><Relationship Id="rId23" Type="http://schemas.openxmlformats.org/officeDocument/2006/relationships/fontTable" Target="fontTable.xml"/><Relationship Id="rId10" Type="http://schemas.openxmlformats.org/officeDocument/2006/relationships/hyperlink" Target="https://clearcommunityweb.co.uk/" TargetMode="External"/><Relationship Id="rId19" Type="http://schemas.openxmlformats.org/officeDocument/2006/relationships/hyperlink" Target="https://rathbonesociety.org.uk/norwood-consortium/" TargetMode="External"/><Relationship Id="rId4" Type="http://schemas.openxmlformats.org/officeDocument/2006/relationships/webSettings" Target="webSettings.xml"/><Relationship Id="rId9" Type="http://schemas.openxmlformats.org/officeDocument/2006/relationships/hyperlink" Target="mailto:enquiries@nationalcrcgroup.co.uk" TargetMode="External"/><Relationship Id="rId14" Type="http://schemas.openxmlformats.org/officeDocument/2006/relationships/hyperlink" Target="https://www.ourwatch.org.uk/" TargetMode="External"/><Relationship Id="rId22" Type="http://schemas.openxmlformats.org/officeDocument/2006/relationships/hyperlink" Target="https://www.thewellcen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Liz Banbury</cp:lastModifiedBy>
  <cp:revision>5</cp:revision>
  <cp:lastPrinted>2022-07-28T17:42:00Z</cp:lastPrinted>
  <dcterms:created xsi:type="dcterms:W3CDTF">2022-08-08T13:05:00Z</dcterms:created>
  <dcterms:modified xsi:type="dcterms:W3CDTF">2022-08-08T13:08:00Z</dcterms:modified>
</cp:coreProperties>
</file>